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E92D6" w14:textId="77777777" w:rsidR="00FE067E" w:rsidRPr="00143442" w:rsidRDefault="003C6034" w:rsidP="00CC1F3B">
      <w:pPr>
        <w:pStyle w:val="TitlePageOrigin"/>
        <w:rPr>
          <w:color w:val="auto"/>
        </w:rPr>
      </w:pPr>
      <w:r w:rsidRPr="00143442">
        <w:rPr>
          <w:caps w:val="0"/>
          <w:color w:val="auto"/>
        </w:rPr>
        <w:t>WEST VIRGINIA LEGISLATURE</w:t>
      </w:r>
    </w:p>
    <w:p w14:paraId="6083EA57" w14:textId="77777777" w:rsidR="00CD36CF" w:rsidRPr="00143442" w:rsidRDefault="00CD36CF" w:rsidP="00CC1F3B">
      <w:pPr>
        <w:pStyle w:val="TitlePageSession"/>
        <w:rPr>
          <w:color w:val="auto"/>
        </w:rPr>
      </w:pPr>
      <w:r w:rsidRPr="00143442">
        <w:rPr>
          <w:color w:val="auto"/>
        </w:rPr>
        <w:t>20</w:t>
      </w:r>
      <w:r w:rsidR="00EC5E63" w:rsidRPr="00143442">
        <w:rPr>
          <w:color w:val="auto"/>
        </w:rPr>
        <w:t>2</w:t>
      </w:r>
      <w:r w:rsidR="00400B5C" w:rsidRPr="00143442">
        <w:rPr>
          <w:color w:val="auto"/>
        </w:rPr>
        <w:t>2</w:t>
      </w:r>
      <w:r w:rsidRPr="00143442">
        <w:rPr>
          <w:color w:val="auto"/>
        </w:rPr>
        <w:t xml:space="preserve"> </w:t>
      </w:r>
      <w:r w:rsidR="003C6034" w:rsidRPr="00143442">
        <w:rPr>
          <w:caps w:val="0"/>
          <w:color w:val="auto"/>
        </w:rPr>
        <w:t>REGULAR SESSION</w:t>
      </w:r>
    </w:p>
    <w:p w14:paraId="3FC1FA33" w14:textId="77777777" w:rsidR="00CD36CF" w:rsidRPr="00143442" w:rsidRDefault="00603FB7" w:rsidP="00CC1F3B">
      <w:pPr>
        <w:pStyle w:val="TitlePageBillPrefix"/>
        <w:rPr>
          <w:color w:val="auto"/>
        </w:rPr>
      </w:pPr>
      <w:sdt>
        <w:sdtPr>
          <w:rPr>
            <w:color w:val="auto"/>
          </w:rPr>
          <w:tag w:val="IntroDate"/>
          <w:id w:val="-1236936958"/>
          <w:placeholder>
            <w:docPart w:val="D3D555B28B2A4E48AACD48735E1AAE80"/>
          </w:placeholder>
          <w:text/>
        </w:sdtPr>
        <w:sdtEndPr/>
        <w:sdtContent>
          <w:r w:rsidR="00AE48A0" w:rsidRPr="00143442">
            <w:rPr>
              <w:color w:val="auto"/>
            </w:rPr>
            <w:t>Introduced</w:t>
          </w:r>
        </w:sdtContent>
      </w:sdt>
    </w:p>
    <w:p w14:paraId="0FA85444" w14:textId="2A6FD3FD" w:rsidR="00CD36CF" w:rsidRPr="00143442" w:rsidRDefault="00603FB7" w:rsidP="00CC1F3B">
      <w:pPr>
        <w:pStyle w:val="BillNumber"/>
        <w:rPr>
          <w:color w:val="auto"/>
        </w:rPr>
      </w:pPr>
      <w:sdt>
        <w:sdtPr>
          <w:rPr>
            <w:color w:val="auto"/>
          </w:rPr>
          <w:tag w:val="Chamber"/>
          <w:id w:val="893011969"/>
          <w:lock w:val="sdtLocked"/>
          <w:placeholder>
            <w:docPart w:val="6B6132478E194825B4488D3AAF7AB784"/>
          </w:placeholder>
          <w:dropDownList>
            <w:listItem w:displayText="House" w:value="House"/>
            <w:listItem w:displayText="Senate" w:value="Senate"/>
          </w:dropDownList>
        </w:sdtPr>
        <w:sdtEndPr/>
        <w:sdtContent>
          <w:r w:rsidR="00C33434" w:rsidRPr="00143442">
            <w:rPr>
              <w:color w:val="auto"/>
            </w:rPr>
            <w:t>House</w:t>
          </w:r>
        </w:sdtContent>
      </w:sdt>
      <w:r w:rsidR="00303684" w:rsidRPr="00143442">
        <w:rPr>
          <w:color w:val="auto"/>
        </w:rPr>
        <w:t xml:space="preserve"> </w:t>
      </w:r>
      <w:r w:rsidR="00CD36CF" w:rsidRPr="00143442">
        <w:rPr>
          <w:color w:val="auto"/>
        </w:rPr>
        <w:t xml:space="preserve">Bill </w:t>
      </w:r>
      <w:sdt>
        <w:sdtPr>
          <w:rPr>
            <w:color w:val="auto"/>
          </w:rPr>
          <w:tag w:val="BNum"/>
          <w:id w:val="1645317809"/>
          <w:lock w:val="sdtLocked"/>
          <w:placeholder>
            <w:docPart w:val="C7D7EE3CFD964A43A7591111C2638B14"/>
          </w:placeholder>
          <w:text/>
        </w:sdtPr>
        <w:sdtEndPr/>
        <w:sdtContent>
          <w:r w:rsidR="00C400B8">
            <w:rPr>
              <w:color w:val="auto"/>
            </w:rPr>
            <w:t>4813</w:t>
          </w:r>
        </w:sdtContent>
      </w:sdt>
    </w:p>
    <w:p w14:paraId="47B57118" w14:textId="2DFD220B" w:rsidR="00CD36CF" w:rsidRPr="00143442" w:rsidRDefault="00CD36CF" w:rsidP="00CC1F3B">
      <w:pPr>
        <w:pStyle w:val="Sponsors"/>
        <w:rPr>
          <w:color w:val="auto"/>
        </w:rPr>
      </w:pPr>
      <w:r w:rsidRPr="00143442">
        <w:rPr>
          <w:color w:val="auto"/>
        </w:rPr>
        <w:t xml:space="preserve">By </w:t>
      </w:r>
      <w:sdt>
        <w:sdtPr>
          <w:rPr>
            <w:color w:val="auto"/>
          </w:rPr>
          <w:tag w:val="Sponsors"/>
          <w:id w:val="1589585889"/>
          <w:placeholder>
            <w:docPart w:val="922D598CF365479DA378A5BB7120501C"/>
          </w:placeholder>
          <w:text w:multiLine="1"/>
        </w:sdtPr>
        <w:sdtEndPr/>
        <w:sdtContent>
          <w:r w:rsidR="0013415A" w:rsidRPr="00143442">
            <w:rPr>
              <w:color w:val="auto"/>
            </w:rPr>
            <w:t>Delegate</w:t>
          </w:r>
          <w:r w:rsidR="00603FB7">
            <w:rPr>
              <w:color w:val="auto"/>
            </w:rPr>
            <w:t>s</w:t>
          </w:r>
          <w:r w:rsidR="0013415A" w:rsidRPr="00143442">
            <w:rPr>
              <w:color w:val="auto"/>
            </w:rPr>
            <w:t xml:space="preserve"> Walker</w:t>
          </w:r>
          <w:r w:rsidR="00603FB7">
            <w:rPr>
              <w:color w:val="auto"/>
            </w:rPr>
            <w:t xml:space="preserve"> and Young</w:t>
          </w:r>
        </w:sdtContent>
      </w:sdt>
    </w:p>
    <w:p w14:paraId="16C08EFF" w14:textId="51400F05" w:rsidR="00E831B3" w:rsidRPr="00143442" w:rsidRDefault="00CD36CF" w:rsidP="00CC1F3B">
      <w:pPr>
        <w:pStyle w:val="References"/>
        <w:rPr>
          <w:color w:val="auto"/>
        </w:rPr>
      </w:pPr>
      <w:r w:rsidRPr="00143442">
        <w:rPr>
          <w:color w:val="auto"/>
        </w:rPr>
        <w:t>[</w:t>
      </w:r>
      <w:sdt>
        <w:sdtPr>
          <w:rPr>
            <w:color w:val="auto"/>
          </w:rPr>
          <w:tag w:val="References"/>
          <w:id w:val="-1043047873"/>
          <w:placeholder>
            <w:docPart w:val="88938CB832104CEC892093C257F7660F"/>
          </w:placeholder>
          <w:text w:multiLine="1"/>
        </w:sdtPr>
        <w:sdtEndPr/>
        <w:sdtContent>
          <w:r w:rsidR="00C400B8">
            <w:rPr>
              <w:color w:val="auto"/>
            </w:rPr>
            <w:t>Introduced February 15, 2022; Referred to the Committee on the Judiciary</w:t>
          </w:r>
        </w:sdtContent>
      </w:sdt>
      <w:r w:rsidRPr="00143442">
        <w:rPr>
          <w:color w:val="auto"/>
        </w:rPr>
        <w:t>]</w:t>
      </w:r>
    </w:p>
    <w:p w14:paraId="743A87FA" w14:textId="04DC4DF2" w:rsidR="00303684" w:rsidRPr="00143442" w:rsidRDefault="0000526A" w:rsidP="0071204B">
      <w:pPr>
        <w:pStyle w:val="TitleSection"/>
        <w:rPr>
          <w:color w:val="auto"/>
        </w:rPr>
      </w:pPr>
      <w:r w:rsidRPr="00143442">
        <w:rPr>
          <w:color w:val="auto"/>
        </w:rPr>
        <w:lastRenderedPageBreak/>
        <w:t>A BILL</w:t>
      </w:r>
      <w:r w:rsidR="0013415A" w:rsidRPr="00143442">
        <w:rPr>
          <w:color w:val="auto"/>
        </w:rPr>
        <w:t xml:space="preserve"> to amend the Code of West Virginia, 1931, amended, by adding thereto a new section, designated §</w:t>
      </w:r>
      <w:r w:rsidR="0071204B" w:rsidRPr="00143442">
        <w:rPr>
          <w:color w:val="auto"/>
        </w:rPr>
        <w:t>37-6-31</w:t>
      </w:r>
      <w:r w:rsidR="0013415A" w:rsidRPr="00143442">
        <w:rPr>
          <w:color w:val="auto"/>
        </w:rPr>
        <w:t>, relating to</w:t>
      </w:r>
      <w:r w:rsidR="00E45258" w:rsidRPr="00143442">
        <w:rPr>
          <w:color w:val="auto"/>
        </w:rPr>
        <w:t xml:space="preserve"> </w:t>
      </w:r>
      <w:r w:rsidR="0071204B" w:rsidRPr="00143442">
        <w:rPr>
          <w:color w:val="auto"/>
        </w:rPr>
        <w:t>creating a Renter’s Bill of Rights and Tenant Protection Act</w:t>
      </w:r>
      <w:r w:rsidR="00EF53FE" w:rsidRPr="00143442">
        <w:rPr>
          <w:color w:val="auto"/>
        </w:rPr>
        <w:t>; limiting rental rate increases under certain circumstances; setting forth exclusions; providing definitions; and providing an effective date.</w:t>
      </w:r>
      <w:r w:rsidR="00D64626" w:rsidRPr="00143442">
        <w:rPr>
          <w:color w:val="auto"/>
        </w:rPr>
        <w:t xml:space="preserve"> </w:t>
      </w:r>
    </w:p>
    <w:p w14:paraId="047F7CA2" w14:textId="77777777" w:rsidR="00303684" w:rsidRPr="00143442" w:rsidRDefault="00303684" w:rsidP="0071204B">
      <w:pPr>
        <w:pStyle w:val="EnactingClause"/>
        <w:rPr>
          <w:color w:val="auto"/>
        </w:rPr>
      </w:pPr>
      <w:r w:rsidRPr="00143442">
        <w:rPr>
          <w:color w:val="auto"/>
        </w:rPr>
        <w:t>Be it enacted by the Legislature of West Virginia:</w:t>
      </w:r>
    </w:p>
    <w:p w14:paraId="29DCFB3D" w14:textId="77777777" w:rsidR="003C6034" w:rsidRPr="00143442" w:rsidRDefault="003C6034" w:rsidP="00CC1F3B">
      <w:pPr>
        <w:pStyle w:val="EnactingClause"/>
        <w:rPr>
          <w:color w:val="auto"/>
        </w:rPr>
        <w:sectPr w:rsidR="003C6034" w:rsidRPr="0014344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D9F2955" w14:textId="627E5F62" w:rsidR="008736AA" w:rsidRPr="00143442" w:rsidRDefault="0013415A" w:rsidP="0071204B">
      <w:pPr>
        <w:pStyle w:val="ArticleHeading"/>
        <w:rPr>
          <w:color w:val="auto"/>
        </w:rPr>
      </w:pPr>
      <w:r w:rsidRPr="00143442">
        <w:rPr>
          <w:color w:val="auto"/>
        </w:rPr>
        <w:t xml:space="preserve">Article </w:t>
      </w:r>
      <w:r w:rsidR="0071204B" w:rsidRPr="00143442">
        <w:rPr>
          <w:color w:val="auto"/>
        </w:rPr>
        <w:t>6. Landlord and tenant</w:t>
      </w:r>
      <w:r w:rsidRPr="00143442">
        <w:rPr>
          <w:color w:val="auto"/>
        </w:rPr>
        <w:t>.</w:t>
      </w:r>
    </w:p>
    <w:p w14:paraId="7196933B" w14:textId="4D7011D7" w:rsidR="0013415A" w:rsidRPr="00143442" w:rsidRDefault="0013415A" w:rsidP="0071204B">
      <w:pPr>
        <w:pStyle w:val="SectionHeading"/>
        <w:rPr>
          <w:color w:val="auto"/>
          <w:u w:val="single"/>
        </w:rPr>
      </w:pPr>
      <w:r w:rsidRPr="00143442">
        <w:rPr>
          <w:color w:val="auto"/>
          <w:u w:val="single"/>
        </w:rPr>
        <w:t>§</w:t>
      </w:r>
      <w:r w:rsidR="0071204B" w:rsidRPr="00143442">
        <w:rPr>
          <w:color w:val="auto"/>
          <w:u w:val="single"/>
        </w:rPr>
        <w:t>37-6-31</w:t>
      </w:r>
      <w:r w:rsidRPr="00143442">
        <w:rPr>
          <w:color w:val="auto"/>
          <w:u w:val="single"/>
        </w:rPr>
        <w:t xml:space="preserve">. </w:t>
      </w:r>
      <w:r w:rsidR="0071204B" w:rsidRPr="00143442">
        <w:rPr>
          <w:color w:val="auto"/>
          <w:u w:val="single"/>
        </w:rPr>
        <w:t xml:space="preserve">Renter’s bill of rights and tenant protection act; limiting rental rate increases; exclusions; definitions; effective date. </w:t>
      </w:r>
    </w:p>
    <w:p w14:paraId="2C4F3BF6" w14:textId="2EAB8D7D" w:rsidR="0071204B" w:rsidRPr="00143442" w:rsidRDefault="0071204B" w:rsidP="0071204B">
      <w:pPr>
        <w:pStyle w:val="SectionBody"/>
        <w:rPr>
          <w:color w:val="auto"/>
          <w:u w:val="single"/>
        </w:rPr>
      </w:pPr>
      <w:r w:rsidRPr="00143442">
        <w:rPr>
          <w:color w:val="auto"/>
          <w:u w:val="single"/>
        </w:rPr>
        <w:t xml:space="preserve">(a) (1) Notwithstanding any other provision of law to the contrary, subject to subsection (b), an owner of residential real property shall not, over the course of any 12-month period, increase the gross rental rate for a dwelling or a unit more than </w:t>
      </w:r>
      <w:r w:rsidR="00DB4FB5" w:rsidRPr="00143442">
        <w:rPr>
          <w:color w:val="auto"/>
          <w:u w:val="single"/>
        </w:rPr>
        <w:t>five</w:t>
      </w:r>
      <w:r w:rsidRPr="00143442">
        <w:rPr>
          <w:color w:val="auto"/>
          <w:u w:val="single"/>
        </w:rPr>
        <w:t xml:space="preserve"> percent plus the percentage change in the cost of living, or 10 percent, whichever is lower, of the lowest gross rental rate charged for that dwelling or unit at any time during the 12 months prior to the effective date of the increase. In determining the lowest gross rental amount pursuant to this section, any rent discounts, incentives, concessions, or credits offered by the owner of such unit of residential real property and accepted by the tenant shall be excluded. The gross per-month rental rate and any owner-offered discounts, incentives, concessions, or credits shall be separately listed and identified in the lease or rental agreement or any amendments to an existing lease or rental agreement.</w:t>
      </w:r>
    </w:p>
    <w:p w14:paraId="76BC1BF0" w14:textId="77777777" w:rsidR="0071204B" w:rsidRPr="00143442" w:rsidRDefault="0071204B" w:rsidP="0071204B">
      <w:pPr>
        <w:pStyle w:val="SectionBody"/>
        <w:rPr>
          <w:color w:val="auto"/>
          <w:u w:val="single"/>
        </w:rPr>
      </w:pPr>
      <w:r w:rsidRPr="00143442">
        <w:rPr>
          <w:color w:val="auto"/>
          <w:u w:val="single"/>
        </w:rPr>
        <w:t>(2) If the same tenant remains in occupancy of a unit of residential real property over any 12-month period, the gross rental rate for the unit of residential real property shall not be increased in more than two increments over that 12-month period, subject to the other restrictions of this subsection governing gross rental rate increase.</w:t>
      </w:r>
    </w:p>
    <w:p w14:paraId="2988C2A5" w14:textId="77777777" w:rsidR="0071204B" w:rsidRPr="00143442" w:rsidRDefault="0071204B" w:rsidP="0071204B">
      <w:pPr>
        <w:pStyle w:val="SectionBody"/>
        <w:rPr>
          <w:color w:val="auto"/>
          <w:u w:val="single"/>
        </w:rPr>
      </w:pPr>
      <w:r w:rsidRPr="00143442">
        <w:rPr>
          <w:color w:val="auto"/>
          <w:u w:val="single"/>
        </w:rPr>
        <w:t xml:space="preserve">(b) For a new tenancy in which no tenant from the prior tenancy remains in lawful possession of the residential real property, the owner may establish the initial rental rate not subject to subsection (a). Subsection (a) is only applicable to subsequent increases after that </w:t>
      </w:r>
      <w:r w:rsidRPr="00143442">
        <w:rPr>
          <w:color w:val="auto"/>
          <w:u w:val="single"/>
        </w:rPr>
        <w:lastRenderedPageBreak/>
        <w:t>initial rental rate has been established.</w:t>
      </w:r>
    </w:p>
    <w:p w14:paraId="7EA0028A" w14:textId="77777777" w:rsidR="0071204B" w:rsidRPr="00143442" w:rsidRDefault="0071204B" w:rsidP="0071204B">
      <w:pPr>
        <w:pStyle w:val="SectionBody"/>
        <w:rPr>
          <w:color w:val="auto"/>
          <w:u w:val="single"/>
        </w:rPr>
      </w:pPr>
      <w:r w:rsidRPr="00143442">
        <w:rPr>
          <w:color w:val="auto"/>
          <w:u w:val="single"/>
        </w:rPr>
        <w:t>(c) A tenant of residential real property subject to this section shall not enter into a sublease that results in a total rent for the premises that exceeds the allowable rental rate authorized by subsection (a). Nothing in this subsection authorizes a tenant to sublet or assign the tenant’s interest where otherwise prohibited.</w:t>
      </w:r>
    </w:p>
    <w:p w14:paraId="5B8E56BA" w14:textId="77777777" w:rsidR="0071204B" w:rsidRPr="00143442" w:rsidRDefault="0071204B" w:rsidP="0071204B">
      <w:pPr>
        <w:pStyle w:val="SectionBody"/>
        <w:rPr>
          <w:color w:val="auto"/>
          <w:u w:val="single"/>
        </w:rPr>
      </w:pPr>
      <w:r w:rsidRPr="00143442">
        <w:rPr>
          <w:color w:val="auto"/>
          <w:u w:val="single"/>
        </w:rPr>
        <w:t>(d) This section shall not apply to the following residential real properties:</w:t>
      </w:r>
    </w:p>
    <w:p w14:paraId="7EA1FB4D" w14:textId="77777777" w:rsidR="0071204B" w:rsidRPr="00143442" w:rsidRDefault="0071204B" w:rsidP="0071204B">
      <w:pPr>
        <w:pStyle w:val="SectionBody"/>
        <w:rPr>
          <w:color w:val="auto"/>
          <w:u w:val="single"/>
        </w:rPr>
      </w:pPr>
      <w:r w:rsidRPr="00143442">
        <w:rPr>
          <w:color w:val="auto"/>
          <w:u w:val="single"/>
        </w:rPr>
        <w:t>(1) Housing restricted by deed, regulatory restriction contained in an agreement with a government agency, or other recorded document as affordable housing for persons and families of very low, low, or moderate income, or subject to an agreement that provides housing subsidies for affordable housing for persons and families of very low, low, or moderate income, as defined by federal statutes or regulations.</w:t>
      </w:r>
    </w:p>
    <w:p w14:paraId="2732C218" w14:textId="77777777" w:rsidR="0071204B" w:rsidRPr="00143442" w:rsidRDefault="0071204B" w:rsidP="0071204B">
      <w:pPr>
        <w:pStyle w:val="SectionBody"/>
        <w:rPr>
          <w:color w:val="auto"/>
          <w:u w:val="single"/>
        </w:rPr>
      </w:pPr>
      <w:r w:rsidRPr="00143442">
        <w:rPr>
          <w:color w:val="auto"/>
          <w:u w:val="single"/>
        </w:rPr>
        <w:t>(2) Dormitories constructed and maintained in connection with any higher education institution within the state for use and occupancy by students in attendance at the institution.</w:t>
      </w:r>
    </w:p>
    <w:p w14:paraId="614CD5C7" w14:textId="77777777" w:rsidR="0071204B" w:rsidRPr="00143442" w:rsidRDefault="0071204B" w:rsidP="0071204B">
      <w:pPr>
        <w:pStyle w:val="SectionBody"/>
        <w:rPr>
          <w:color w:val="auto"/>
          <w:u w:val="single"/>
        </w:rPr>
      </w:pPr>
      <w:r w:rsidRPr="00143442">
        <w:rPr>
          <w:color w:val="auto"/>
          <w:u w:val="single"/>
        </w:rPr>
        <w:t>(3) Housing that has been issued a certificate of occupancy within the previous 15 years.</w:t>
      </w:r>
    </w:p>
    <w:p w14:paraId="5BB222EF" w14:textId="77777777" w:rsidR="0071204B" w:rsidRPr="00143442" w:rsidRDefault="0071204B" w:rsidP="0071204B">
      <w:pPr>
        <w:pStyle w:val="SectionBody"/>
        <w:rPr>
          <w:color w:val="auto"/>
          <w:u w:val="single"/>
        </w:rPr>
      </w:pPr>
      <w:r w:rsidRPr="00143442">
        <w:rPr>
          <w:color w:val="auto"/>
          <w:u w:val="single"/>
        </w:rPr>
        <w:t>(4) Residential real property that is alienable separate from the title to any other dwelling unit, provided that both of the following apply:</w:t>
      </w:r>
    </w:p>
    <w:p w14:paraId="5BF31D63" w14:textId="77777777" w:rsidR="0071204B" w:rsidRPr="00143442" w:rsidRDefault="0071204B" w:rsidP="0071204B">
      <w:pPr>
        <w:pStyle w:val="SectionBody"/>
        <w:rPr>
          <w:color w:val="auto"/>
          <w:u w:val="single"/>
        </w:rPr>
      </w:pPr>
      <w:r w:rsidRPr="00143442">
        <w:rPr>
          <w:color w:val="auto"/>
          <w:u w:val="single"/>
        </w:rPr>
        <w:t>(A) The owner is not any of the following:</w:t>
      </w:r>
    </w:p>
    <w:p w14:paraId="18BB54C1" w14:textId="77777777" w:rsidR="0071204B" w:rsidRPr="00143442" w:rsidRDefault="0071204B" w:rsidP="0071204B">
      <w:pPr>
        <w:pStyle w:val="SectionBody"/>
        <w:rPr>
          <w:color w:val="auto"/>
          <w:u w:val="single"/>
        </w:rPr>
      </w:pPr>
      <w:r w:rsidRPr="00143442">
        <w:rPr>
          <w:color w:val="auto"/>
          <w:u w:val="single"/>
        </w:rPr>
        <w:t>(i) A real estate investment trust, as defined in Section 856 of the Internal Revenue Code.</w:t>
      </w:r>
    </w:p>
    <w:p w14:paraId="65AF3844" w14:textId="77777777" w:rsidR="0071204B" w:rsidRPr="00143442" w:rsidRDefault="0071204B" w:rsidP="0071204B">
      <w:pPr>
        <w:pStyle w:val="SectionBody"/>
        <w:rPr>
          <w:color w:val="auto"/>
          <w:u w:val="single"/>
        </w:rPr>
      </w:pPr>
      <w:r w:rsidRPr="00143442">
        <w:rPr>
          <w:color w:val="auto"/>
          <w:u w:val="single"/>
        </w:rPr>
        <w:t>(ii) A corporation.</w:t>
      </w:r>
    </w:p>
    <w:p w14:paraId="0E0E85D6" w14:textId="77777777" w:rsidR="0071204B" w:rsidRPr="00143442" w:rsidRDefault="0071204B" w:rsidP="0071204B">
      <w:pPr>
        <w:pStyle w:val="SectionBody"/>
        <w:rPr>
          <w:color w:val="auto"/>
          <w:u w:val="single"/>
        </w:rPr>
      </w:pPr>
      <w:r w:rsidRPr="00143442">
        <w:rPr>
          <w:color w:val="auto"/>
          <w:u w:val="single"/>
        </w:rPr>
        <w:t>(iii) A limited liability company in which at least one member is a corporation.</w:t>
      </w:r>
    </w:p>
    <w:p w14:paraId="5E312341" w14:textId="77777777" w:rsidR="0071204B" w:rsidRPr="00143442" w:rsidRDefault="0071204B" w:rsidP="0071204B">
      <w:pPr>
        <w:pStyle w:val="SectionBody"/>
        <w:rPr>
          <w:color w:val="auto"/>
          <w:u w:val="single"/>
        </w:rPr>
      </w:pPr>
      <w:r w:rsidRPr="00143442">
        <w:rPr>
          <w:color w:val="auto"/>
          <w:u w:val="single"/>
        </w:rPr>
        <w:t>(B) (i) The tenants have been provided written notice that the residential real property is exempt from this section using a written statement that makes clear the owner is not any of the following: (1) a real estate investment trust, as defined by Section 856 of the Internal Revenue Code; (2) a corporation; or (3) a limited liability company in which at least one member is a corporation.</w:t>
      </w:r>
    </w:p>
    <w:p w14:paraId="1E225D84" w14:textId="77777777" w:rsidR="0071204B" w:rsidRPr="00143442" w:rsidRDefault="0071204B" w:rsidP="0071204B">
      <w:pPr>
        <w:pStyle w:val="SectionBody"/>
        <w:rPr>
          <w:color w:val="auto"/>
          <w:u w:val="single"/>
        </w:rPr>
      </w:pPr>
      <w:r w:rsidRPr="00143442">
        <w:rPr>
          <w:color w:val="auto"/>
          <w:u w:val="single"/>
        </w:rPr>
        <w:t xml:space="preserve">(ii) For a tenancy existing before July 1, 2020, the notice required under subparagraph (i) </w:t>
      </w:r>
      <w:r w:rsidRPr="00143442">
        <w:rPr>
          <w:color w:val="auto"/>
          <w:u w:val="single"/>
        </w:rPr>
        <w:lastRenderedPageBreak/>
        <w:t>may, but is not required to, be provided in the rental agreement.</w:t>
      </w:r>
    </w:p>
    <w:p w14:paraId="276A4FD2" w14:textId="77777777" w:rsidR="0071204B" w:rsidRPr="00143442" w:rsidRDefault="0071204B" w:rsidP="0071204B">
      <w:pPr>
        <w:pStyle w:val="SectionBody"/>
        <w:rPr>
          <w:color w:val="auto"/>
          <w:u w:val="single"/>
        </w:rPr>
      </w:pPr>
      <w:r w:rsidRPr="00143442">
        <w:rPr>
          <w:color w:val="auto"/>
          <w:u w:val="single"/>
        </w:rPr>
        <w:t>(iii) For a tenancy commenced or renewed on or after July 1, 2020, the notice required under subparagraph (i) must be provided in the rental agreement.</w:t>
      </w:r>
    </w:p>
    <w:p w14:paraId="3484EDFA" w14:textId="77777777" w:rsidR="0071204B" w:rsidRPr="00143442" w:rsidRDefault="0071204B" w:rsidP="0071204B">
      <w:pPr>
        <w:pStyle w:val="SectionBody"/>
        <w:rPr>
          <w:color w:val="auto"/>
          <w:u w:val="single"/>
        </w:rPr>
      </w:pPr>
      <w:r w:rsidRPr="00143442">
        <w:rPr>
          <w:color w:val="auto"/>
          <w:u w:val="single"/>
        </w:rPr>
        <w:t>(iv) Addition of a provision containing the notice required under subparagraph (i) to any new or renewed rental agreement or fixed-term lease constitutes a similar provision.</w:t>
      </w:r>
    </w:p>
    <w:p w14:paraId="6AAA5C9F" w14:textId="77777777" w:rsidR="0071204B" w:rsidRPr="00143442" w:rsidRDefault="0071204B" w:rsidP="0071204B">
      <w:pPr>
        <w:pStyle w:val="SectionBody"/>
        <w:rPr>
          <w:color w:val="auto"/>
          <w:u w:val="single"/>
        </w:rPr>
      </w:pPr>
      <w:r w:rsidRPr="00143442">
        <w:rPr>
          <w:color w:val="auto"/>
          <w:u w:val="single"/>
        </w:rPr>
        <w:t>(5) A duplex in which the owner occupied one of the units as the owner’s principal place of residence at the beginning of the tenancy, so long as the owner continues in occupancy.</w:t>
      </w:r>
    </w:p>
    <w:p w14:paraId="24B02092" w14:textId="77777777" w:rsidR="0071204B" w:rsidRPr="00143442" w:rsidRDefault="0071204B" w:rsidP="0071204B">
      <w:pPr>
        <w:pStyle w:val="SectionBody"/>
        <w:rPr>
          <w:color w:val="auto"/>
          <w:u w:val="single"/>
        </w:rPr>
      </w:pPr>
      <w:r w:rsidRPr="00143442">
        <w:rPr>
          <w:color w:val="auto"/>
          <w:u w:val="single"/>
        </w:rPr>
        <w:t>(e) An owner shall provide notice of any increase in the rental rate, pursuant to subsection (a), to each tenant.</w:t>
      </w:r>
    </w:p>
    <w:p w14:paraId="13DE4E98" w14:textId="77777777" w:rsidR="0071204B" w:rsidRPr="00143442" w:rsidRDefault="0071204B" w:rsidP="0071204B">
      <w:pPr>
        <w:pStyle w:val="SectionBody"/>
        <w:rPr>
          <w:color w:val="auto"/>
          <w:u w:val="single"/>
        </w:rPr>
      </w:pPr>
      <w:r w:rsidRPr="00143442">
        <w:rPr>
          <w:color w:val="auto"/>
          <w:u w:val="single"/>
        </w:rPr>
        <w:t>(f) For the purposes of this section, the following definitions shall apply:</w:t>
      </w:r>
    </w:p>
    <w:p w14:paraId="5279D09E" w14:textId="77777777" w:rsidR="0071204B" w:rsidRPr="00143442" w:rsidRDefault="0071204B" w:rsidP="0071204B">
      <w:pPr>
        <w:pStyle w:val="SectionBody"/>
        <w:rPr>
          <w:color w:val="auto"/>
          <w:u w:val="single"/>
        </w:rPr>
      </w:pPr>
      <w:r w:rsidRPr="00143442">
        <w:rPr>
          <w:color w:val="auto"/>
          <w:u w:val="single"/>
        </w:rPr>
        <w:t xml:space="preserve">“Percentage change in the cost of living” means the percentage change from April 1 of the prior year to April 1 of the current year in the regional Consumer Price Index for the region where the residential real property is located, as published by the United States Bureau of Labor Statistics. </w:t>
      </w:r>
    </w:p>
    <w:p w14:paraId="26452E78" w14:textId="77777777" w:rsidR="0071204B" w:rsidRPr="00143442" w:rsidRDefault="0071204B" w:rsidP="0071204B">
      <w:pPr>
        <w:pStyle w:val="SectionBody"/>
        <w:rPr>
          <w:color w:val="auto"/>
          <w:u w:val="single"/>
        </w:rPr>
      </w:pPr>
      <w:r w:rsidRPr="00143442">
        <w:rPr>
          <w:color w:val="auto"/>
          <w:u w:val="single"/>
        </w:rPr>
        <w:t>“Tenancy” means the lawful occupation of residential real property and includes a lease or sublease.</w:t>
      </w:r>
    </w:p>
    <w:p w14:paraId="471468BE" w14:textId="77777777" w:rsidR="0071204B" w:rsidRPr="00143442" w:rsidRDefault="0071204B" w:rsidP="0071204B">
      <w:pPr>
        <w:pStyle w:val="SectionBody"/>
        <w:rPr>
          <w:color w:val="auto"/>
          <w:u w:val="single"/>
        </w:rPr>
      </w:pPr>
      <w:r w:rsidRPr="00143442">
        <w:rPr>
          <w:color w:val="auto"/>
          <w:u w:val="single"/>
        </w:rPr>
        <w:t>(g) This section shall apply to all rent increases subject to subsection (a) occurring on or after January 1, 2023. This section shall become operative July 1, 2022.</w:t>
      </w:r>
    </w:p>
    <w:p w14:paraId="75030EDF" w14:textId="77777777" w:rsidR="0071204B" w:rsidRPr="00143442" w:rsidRDefault="0071204B" w:rsidP="0071204B">
      <w:pPr>
        <w:pStyle w:val="SectionBody"/>
        <w:rPr>
          <w:color w:val="auto"/>
          <w:u w:val="single"/>
        </w:rPr>
      </w:pPr>
      <w:r w:rsidRPr="00143442">
        <w:rPr>
          <w:color w:val="auto"/>
          <w:u w:val="single"/>
        </w:rPr>
        <w:t>(h) Any waiver of the rights under this section shall be void as contrary to public policy.</w:t>
      </w:r>
    </w:p>
    <w:p w14:paraId="115E76A7" w14:textId="77777777" w:rsidR="0071204B" w:rsidRPr="00143442" w:rsidRDefault="0071204B" w:rsidP="0071204B">
      <w:pPr>
        <w:pStyle w:val="SectionBody"/>
        <w:rPr>
          <w:color w:val="auto"/>
          <w:u w:val="single"/>
        </w:rPr>
      </w:pPr>
      <w:r w:rsidRPr="00143442">
        <w:rPr>
          <w:color w:val="auto"/>
          <w:u w:val="single"/>
        </w:rPr>
        <w:t>(i) (1) The Legislature finds and declares that the unique circumstances of the current housing crisis require a statewide response to address rent gouging by establishing statewide limitations on gross rental rate increases.</w:t>
      </w:r>
    </w:p>
    <w:p w14:paraId="6FFA9F09" w14:textId="77777777" w:rsidR="0071204B" w:rsidRPr="00143442" w:rsidRDefault="0071204B" w:rsidP="0071204B">
      <w:pPr>
        <w:pStyle w:val="SectionBody"/>
        <w:rPr>
          <w:color w:val="auto"/>
          <w:u w:val="single"/>
        </w:rPr>
      </w:pPr>
      <w:r w:rsidRPr="00143442">
        <w:rPr>
          <w:color w:val="auto"/>
          <w:u w:val="single"/>
        </w:rPr>
        <w:t xml:space="preserve">(2) It is the intent of the Legislature that this section should apply to address the current statewide housing crisis, as described in subdivision (1). </w:t>
      </w:r>
    </w:p>
    <w:p w14:paraId="7CB40936" w14:textId="77777777" w:rsidR="0071204B" w:rsidRPr="00143442" w:rsidRDefault="0071204B" w:rsidP="0071204B">
      <w:pPr>
        <w:pStyle w:val="SectionBody"/>
        <w:rPr>
          <w:color w:val="auto"/>
          <w:u w:val="single"/>
        </w:rPr>
      </w:pPr>
      <w:r w:rsidRPr="00143442">
        <w:rPr>
          <w:color w:val="auto"/>
          <w:u w:val="single"/>
        </w:rPr>
        <w:t>(3) Nothing in this section authorizes a local government to establish limitations on any rental rate increases not otherwise under the law.</w:t>
      </w:r>
    </w:p>
    <w:p w14:paraId="21D26105" w14:textId="1066C17B" w:rsidR="0071204B" w:rsidRPr="00143442" w:rsidRDefault="0071204B" w:rsidP="0071204B">
      <w:pPr>
        <w:pStyle w:val="SectionBody"/>
        <w:rPr>
          <w:color w:val="auto"/>
          <w:u w:val="single"/>
        </w:rPr>
      </w:pPr>
      <w:r w:rsidRPr="00143442">
        <w:rPr>
          <w:color w:val="auto"/>
          <w:u w:val="single"/>
        </w:rPr>
        <w:lastRenderedPageBreak/>
        <w:t xml:space="preserve">(j) This section shall be known </w:t>
      </w:r>
      <w:r w:rsidR="00EF53FE" w:rsidRPr="00143442">
        <w:rPr>
          <w:color w:val="auto"/>
          <w:u w:val="single"/>
        </w:rPr>
        <w:t xml:space="preserve">and cited </w:t>
      </w:r>
      <w:r w:rsidRPr="00143442">
        <w:rPr>
          <w:color w:val="auto"/>
          <w:u w:val="single"/>
        </w:rPr>
        <w:t>as “The Renter’s Bill of Rights and Tenant Protection Act”.</w:t>
      </w:r>
    </w:p>
    <w:p w14:paraId="3B0F0597" w14:textId="752730D3" w:rsidR="00E45258" w:rsidRPr="00143442" w:rsidRDefault="00E45258" w:rsidP="00E45258">
      <w:pPr>
        <w:pStyle w:val="SectionBody"/>
        <w:rPr>
          <w:color w:val="auto"/>
          <w:u w:val="single"/>
        </w:rPr>
      </w:pPr>
      <w:r w:rsidRPr="00143442">
        <w:rPr>
          <w:color w:val="auto"/>
          <w:u w:val="single"/>
        </w:rPr>
        <w:t>(</w:t>
      </w:r>
      <w:r w:rsidR="00EF53FE" w:rsidRPr="00143442">
        <w:rPr>
          <w:color w:val="auto"/>
          <w:u w:val="single"/>
        </w:rPr>
        <w:t>k</w:t>
      </w:r>
      <w:r w:rsidRPr="00143442">
        <w:rPr>
          <w:color w:val="auto"/>
          <w:u w:val="single"/>
        </w:rPr>
        <w:t>) This section shall take effect J</w:t>
      </w:r>
      <w:r w:rsidR="0071204B" w:rsidRPr="00143442">
        <w:rPr>
          <w:color w:val="auto"/>
          <w:u w:val="single"/>
        </w:rPr>
        <w:t>uly</w:t>
      </w:r>
      <w:r w:rsidRPr="00143442">
        <w:rPr>
          <w:color w:val="auto"/>
          <w:u w:val="single"/>
        </w:rPr>
        <w:t xml:space="preserve"> 1, 202</w:t>
      </w:r>
      <w:r w:rsidR="0071204B" w:rsidRPr="00143442">
        <w:rPr>
          <w:color w:val="auto"/>
          <w:u w:val="single"/>
        </w:rPr>
        <w:t>2</w:t>
      </w:r>
      <w:r w:rsidRPr="00143442">
        <w:rPr>
          <w:color w:val="auto"/>
          <w:u w:val="single"/>
        </w:rPr>
        <w:t>.</w:t>
      </w:r>
    </w:p>
    <w:p w14:paraId="3F7DA707" w14:textId="77777777" w:rsidR="00EF53FE" w:rsidRPr="00143442" w:rsidRDefault="00EF53FE" w:rsidP="00EF53FE">
      <w:pPr>
        <w:pStyle w:val="Note"/>
        <w:rPr>
          <w:color w:val="auto"/>
        </w:rPr>
      </w:pPr>
    </w:p>
    <w:p w14:paraId="138D9D3C" w14:textId="744CC064" w:rsidR="006865E9" w:rsidRPr="00143442" w:rsidRDefault="00CF1DCA" w:rsidP="00EF53FE">
      <w:pPr>
        <w:pStyle w:val="Note"/>
        <w:rPr>
          <w:color w:val="auto"/>
        </w:rPr>
      </w:pPr>
      <w:r w:rsidRPr="00143442">
        <w:rPr>
          <w:color w:val="auto"/>
        </w:rPr>
        <w:t>NOTE: The</w:t>
      </w:r>
      <w:r w:rsidR="006865E9" w:rsidRPr="00143442">
        <w:rPr>
          <w:color w:val="auto"/>
        </w:rPr>
        <w:t xml:space="preserve"> purpose of this bill is </w:t>
      </w:r>
      <w:r w:rsidR="00EF53FE" w:rsidRPr="00143442">
        <w:rPr>
          <w:color w:val="auto"/>
        </w:rPr>
        <w:t xml:space="preserve">to create a Renter’s Bill of Rights and Tenant Protection Act; limiting rental rate increases under certain circumstances; setting forth exclusions; providing definitions; and providing an effective date. </w:t>
      </w:r>
    </w:p>
    <w:p w14:paraId="3AD5C2AA" w14:textId="77777777" w:rsidR="006865E9" w:rsidRPr="00143442" w:rsidRDefault="00AE48A0" w:rsidP="00CC1F3B">
      <w:pPr>
        <w:pStyle w:val="Note"/>
        <w:rPr>
          <w:color w:val="auto"/>
        </w:rPr>
      </w:pPr>
      <w:r w:rsidRPr="00143442">
        <w:rPr>
          <w:color w:val="auto"/>
        </w:rPr>
        <w:t>Strike-throughs indicate language that would be stricken from a heading or the present law and underscoring indicates new language that would be added.</w:t>
      </w:r>
    </w:p>
    <w:sectPr w:rsidR="006865E9" w:rsidRPr="00143442" w:rsidSect="008D729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05BF9" w14:textId="77777777" w:rsidR="00B76944" w:rsidRPr="00B844FE" w:rsidRDefault="00B76944" w:rsidP="00B844FE">
      <w:r>
        <w:separator/>
      </w:r>
    </w:p>
  </w:endnote>
  <w:endnote w:type="continuationSeparator" w:id="0">
    <w:p w14:paraId="0581828B" w14:textId="77777777" w:rsidR="00B76944" w:rsidRPr="00B844FE" w:rsidRDefault="00B769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2E472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6B9CE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21BFE7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6F0DF" w14:textId="77777777" w:rsidR="00B76944" w:rsidRPr="00B844FE" w:rsidRDefault="00B76944" w:rsidP="00B844FE">
      <w:r>
        <w:separator/>
      </w:r>
    </w:p>
  </w:footnote>
  <w:footnote w:type="continuationSeparator" w:id="0">
    <w:p w14:paraId="6E7D448F" w14:textId="77777777" w:rsidR="00B76944" w:rsidRPr="00B844FE" w:rsidRDefault="00B769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4E1A" w14:textId="77777777" w:rsidR="002A0269" w:rsidRPr="00B844FE" w:rsidRDefault="00603FB7">
    <w:pPr>
      <w:pStyle w:val="Header"/>
    </w:pPr>
    <w:sdt>
      <w:sdtPr>
        <w:id w:val="-684364211"/>
        <w:placeholder>
          <w:docPart w:val="6B6132478E194825B4488D3AAF7AB78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B6132478E194825B4488D3AAF7AB78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2501" w14:textId="1D790D5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3415A">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3415A">
          <w:rPr>
            <w:sz w:val="22"/>
            <w:szCs w:val="22"/>
          </w:rPr>
          <w:t>2022R2</w:t>
        </w:r>
        <w:r w:rsidR="0071204B">
          <w:rPr>
            <w:sz w:val="22"/>
            <w:szCs w:val="22"/>
          </w:rPr>
          <w:t>640</w:t>
        </w:r>
      </w:sdtContent>
    </w:sdt>
  </w:p>
  <w:p w14:paraId="447D5DB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E2A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5A"/>
    <w:rsid w:val="0000526A"/>
    <w:rsid w:val="000573A9"/>
    <w:rsid w:val="00085D22"/>
    <w:rsid w:val="000C5C77"/>
    <w:rsid w:val="000E3912"/>
    <w:rsid w:val="0010070F"/>
    <w:rsid w:val="0013415A"/>
    <w:rsid w:val="00143442"/>
    <w:rsid w:val="0015112E"/>
    <w:rsid w:val="001552E7"/>
    <w:rsid w:val="001566B4"/>
    <w:rsid w:val="001A66B7"/>
    <w:rsid w:val="001C279E"/>
    <w:rsid w:val="001D459E"/>
    <w:rsid w:val="0022348D"/>
    <w:rsid w:val="0027011C"/>
    <w:rsid w:val="00274200"/>
    <w:rsid w:val="00275740"/>
    <w:rsid w:val="00292647"/>
    <w:rsid w:val="00292DE0"/>
    <w:rsid w:val="002A0269"/>
    <w:rsid w:val="00303684"/>
    <w:rsid w:val="00304EED"/>
    <w:rsid w:val="003143F5"/>
    <w:rsid w:val="00314854"/>
    <w:rsid w:val="0035287B"/>
    <w:rsid w:val="00394191"/>
    <w:rsid w:val="003C51CD"/>
    <w:rsid w:val="003C6034"/>
    <w:rsid w:val="00400B5C"/>
    <w:rsid w:val="004368E0"/>
    <w:rsid w:val="004C13DD"/>
    <w:rsid w:val="004D3ABE"/>
    <w:rsid w:val="004E3441"/>
    <w:rsid w:val="00500579"/>
    <w:rsid w:val="005A5366"/>
    <w:rsid w:val="00603FB7"/>
    <w:rsid w:val="006369EB"/>
    <w:rsid w:val="00637E73"/>
    <w:rsid w:val="006865E9"/>
    <w:rsid w:val="00686E9A"/>
    <w:rsid w:val="00691F3E"/>
    <w:rsid w:val="00694BFB"/>
    <w:rsid w:val="006A106B"/>
    <w:rsid w:val="006C523D"/>
    <w:rsid w:val="006D4036"/>
    <w:rsid w:val="0071204B"/>
    <w:rsid w:val="0073408F"/>
    <w:rsid w:val="007745A9"/>
    <w:rsid w:val="007A5259"/>
    <w:rsid w:val="007A7081"/>
    <w:rsid w:val="007F1CF5"/>
    <w:rsid w:val="00834EDE"/>
    <w:rsid w:val="008736AA"/>
    <w:rsid w:val="008D275D"/>
    <w:rsid w:val="008D729F"/>
    <w:rsid w:val="00980327"/>
    <w:rsid w:val="00986478"/>
    <w:rsid w:val="009A1283"/>
    <w:rsid w:val="009B5557"/>
    <w:rsid w:val="009D28EF"/>
    <w:rsid w:val="009F1067"/>
    <w:rsid w:val="00A31E01"/>
    <w:rsid w:val="00A527AD"/>
    <w:rsid w:val="00A718CF"/>
    <w:rsid w:val="00AE48A0"/>
    <w:rsid w:val="00AE61BE"/>
    <w:rsid w:val="00B16F25"/>
    <w:rsid w:val="00B24422"/>
    <w:rsid w:val="00B66B81"/>
    <w:rsid w:val="00B76944"/>
    <w:rsid w:val="00B80C20"/>
    <w:rsid w:val="00B844FE"/>
    <w:rsid w:val="00B86B4F"/>
    <w:rsid w:val="00BA1F84"/>
    <w:rsid w:val="00BC562B"/>
    <w:rsid w:val="00C33014"/>
    <w:rsid w:val="00C33434"/>
    <w:rsid w:val="00C34869"/>
    <w:rsid w:val="00C400B8"/>
    <w:rsid w:val="00C42EB6"/>
    <w:rsid w:val="00C64E01"/>
    <w:rsid w:val="00C85096"/>
    <w:rsid w:val="00C87BF2"/>
    <w:rsid w:val="00CB20EF"/>
    <w:rsid w:val="00CC1F3B"/>
    <w:rsid w:val="00CD12CB"/>
    <w:rsid w:val="00CD36CF"/>
    <w:rsid w:val="00CF1DCA"/>
    <w:rsid w:val="00D579FC"/>
    <w:rsid w:val="00D64626"/>
    <w:rsid w:val="00D81C16"/>
    <w:rsid w:val="00DB4FB5"/>
    <w:rsid w:val="00DE526B"/>
    <w:rsid w:val="00DF199D"/>
    <w:rsid w:val="00E01542"/>
    <w:rsid w:val="00E365F1"/>
    <w:rsid w:val="00E45258"/>
    <w:rsid w:val="00E62F48"/>
    <w:rsid w:val="00E831B3"/>
    <w:rsid w:val="00E95FBC"/>
    <w:rsid w:val="00EC5E63"/>
    <w:rsid w:val="00EE70CB"/>
    <w:rsid w:val="00EF53F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27B097"/>
  <w15:chartTrackingRefBased/>
  <w15:docId w15:val="{8C07731D-A2E5-4346-83CA-7D99A2A8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71204B"/>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D555B28B2A4E48AACD48735E1AAE80"/>
        <w:category>
          <w:name w:val="General"/>
          <w:gallery w:val="placeholder"/>
        </w:category>
        <w:types>
          <w:type w:val="bbPlcHdr"/>
        </w:types>
        <w:behaviors>
          <w:behavior w:val="content"/>
        </w:behaviors>
        <w:guid w:val="{E979DFFE-42FA-485F-BF4F-36C4CD034950}"/>
      </w:docPartPr>
      <w:docPartBody>
        <w:p w:rsidR="009B613D" w:rsidRDefault="00A00940">
          <w:pPr>
            <w:pStyle w:val="D3D555B28B2A4E48AACD48735E1AAE80"/>
          </w:pPr>
          <w:r w:rsidRPr="00B844FE">
            <w:t>Prefix Text</w:t>
          </w:r>
        </w:p>
      </w:docPartBody>
    </w:docPart>
    <w:docPart>
      <w:docPartPr>
        <w:name w:val="6B6132478E194825B4488D3AAF7AB784"/>
        <w:category>
          <w:name w:val="General"/>
          <w:gallery w:val="placeholder"/>
        </w:category>
        <w:types>
          <w:type w:val="bbPlcHdr"/>
        </w:types>
        <w:behaviors>
          <w:behavior w:val="content"/>
        </w:behaviors>
        <w:guid w:val="{92997EFD-966B-4745-A99F-CDE6FDC3A7D6}"/>
      </w:docPartPr>
      <w:docPartBody>
        <w:p w:rsidR="009B613D" w:rsidRDefault="00A00940">
          <w:pPr>
            <w:pStyle w:val="6B6132478E194825B4488D3AAF7AB784"/>
          </w:pPr>
          <w:r w:rsidRPr="00B844FE">
            <w:t>[Type here]</w:t>
          </w:r>
        </w:p>
      </w:docPartBody>
    </w:docPart>
    <w:docPart>
      <w:docPartPr>
        <w:name w:val="C7D7EE3CFD964A43A7591111C2638B14"/>
        <w:category>
          <w:name w:val="General"/>
          <w:gallery w:val="placeholder"/>
        </w:category>
        <w:types>
          <w:type w:val="bbPlcHdr"/>
        </w:types>
        <w:behaviors>
          <w:behavior w:val="content"/>
        </w:behaviors>
        <w:guid w:val="{4C3B3634-F7B6-4105-9BA4-5AE552CB2F2C}"/>
      </w:docPartPr>
      <w:docPartBody>
        <w:p w:rsidR="009B613D" w:rsidRDefault="00A00940">
          <w:pPr>
            <w:pStyle w:val="C7D7EE3CFD964A43A7591111C2638B14"/>
          </w:pPr>
          <w:r w:rsidRPr="00B844FE">
            <w:t>Number</w:t>
          </w:r>
        </w:p>
      </w:docPartBody>
    </w:docPart>
    <w:docPart>
      <w:docPartPr>
        <w:name w:val="922D598CF365479DA378A5BB7120501C"/>
        <w:category>
          <w:name w:val="General"/>
          <w:gallery w:val="placeholder"/>
        </w:category>
        <w:types>
          <w:type w:val="bbPlcHdr"/>
        </w:types>
        <w:behaviors>
          <w:behavior w:val="content"/>
        </w:behaviors>
        <w:guid w:val="{B0CF4371-88E4-4798-ABF7-19AF99DA78D8}"/>
      </w:docPartPr>
      <w:docPartBody>
        <w:p w:rsidR="009B613D" w:rsidRDefault="00A00940">
          <w:pPr>
            <w:pStyle w:val="922D598CF365479DA378A5BB7120501C"/>
          </w:pPr>
          <w:r w:rsidRPr="00B844FE">
            <w:t>Enter Sponsors Here</w:t>
          </w:r>
        </w:p>
      </w:docPartBody>
    </w:docPart>
    <w:docPart>
      <w:docPartPr>
        <w:name w:val="88938CB832104CEC892093C257F7660F"/>
        <w:category>
          <w:name w:val="General"/>
          <w:gallery w:val="placeholder"/>
        </w:category>
        <w:types>
          <w:type w:val="bbPlcHdr"/>
        </w:types>
        <w:behaviors>
          <w:behavior w:val="content"/>
        </w:behaviors>
        <w:guid w:val="{301F56F0-B134-4E51-BBBC-D12256EDDC19}"/>
      </w:docPartPr>
      <w:docPartBody>
        <w:p w:rsidR="009B613D" w:rsidRDefault="00A00940">
          <w:pPr>
            <w:pStyle w:val="88938CB832104CEC892093C257F7660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940"/>
    <w:rsid w:val="00795C74"/>
    <w:rsid w:val="009B613D"/>
    <w:rsid w:val="00A00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D555B28B2A4E48AACD48735E1AAE80">
    <w:name w:val="D3D555B28B2A4E48AACD48735E1AAE80"/>
  </w:style>
  <w:style w:type="paragraph" w:customStyle="1" w:styleId="6B6132478E194825B4488D3AAF7AB784">
    <w:name w:val="6B6132478E194825B4488D3AAF7AB784"/>
  </w:style>
  <w:style w:type="paragraph" w:customStyle="1" w:styleId="C7D7EE3CFD964A43A7591111C2638B14">
    <w:name w:val="C7D7EE3CFD964A43A7591111C2638B14"/>
  </w:style>
  <w:style w:type="paragraph" w:customStyle="1" w:styleId="922D598CF365479DA378A5BB7120501C">
    <w:name w:val="922D598CF365479DA378A5BB7120501C"/>
  </w:style>
  <w:style w:type="character" w:styleId="PlaceholderText">
    <w:name w:val="Placeholder Text"/>
    <w:basedOn w:val="DefaultParagraphFont"/>
    <w:uiPriority w:val="99"/>
    <w:semiHidden/>
    <w:rPr>
      <w:color w:val="808080"/>
    </w:rPr>
  </w:style>
  <w:style w:type="paragraph" w:customStyle="1" w:styleId="88938CB832104CEC892093C257F7660F">
    <w:name w:val="88938CB832104CEC892093C257F76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3</cp:revision>
  <dcterms:created xsi:type="dcterms:W3CDTF">2022-02-14T18:57:00Z</dcterms:created>
  <dcterms:modified xsi:type="dcterms:W3CDTF">2022-02-17T18:21:00Z</dcterms:modified>
</cp:coreProperties>
</file>